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1BF" w:rsidRPr="00B451BF" w:rsidRDefault="00B451BF" w:rsidP="00B451BF">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B451BF">
        <w:rPr>
          <w:rFonts w:ascii="Times New Roman" w:eastAsia="Times New Roman" w:hAnsi="Times New Roman" w:cs="Times New Roman"/>
          <w:b/>
          <w:bCs/>
          <w:sz w:val="36"/>
          <w:szCs w:val="36"/>
          <w:lang w:eastAsia="ru-RU"/>
        </w:rPr>
        <w:t xml:space="preserve">Комментарий МНС к Закону Республики Беларусь от 13 декабря 2024 г. № 47-З «Об изменении законов» в части исчисления и уплаты земельного налога организациями </w:t>
      </w:r>
    </w:p>
    <w:p w:rsidR="00B451BF" w:rsidRPr="00B451BF" w:rsidRDefault="00B451BF" w:rsidP="00B451BF">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b/>
          <w:bCs/>
          <w:sz w:val="32"/>
          <w:szCs w:val="32"/>
          <w:lang w:eastAsia="ru-RU"/>
        </w:rPr>
        <w:t>Налоговая база</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widowControl w:val="0"/>
        <w:spacing w:before="100" w:beforeAutospacing="1" w:after="100" w:afterAutospacing="1" w:line="240" w:lineRule="auto"/>
        <w:ind w:right="12" w:firstLine="709"/>
        <w:jc w:val="both"/>
        <w:rPr>
          <w:rFonts w:ascii="Times New Roman" w:eastAsia="Times New Roman" w:hAnsi="Times New Roman" w:cs="Times New Roman"/>
          <w:sz w:val="24"/>
          <w:szCs w:val="24"/>
          <w:lang w:eastAsia="ru-RU"/>
        </w:rPr>
      </w:pPr>
      <w:r w:rsidRPr="00B451BF">
        <w:rPr>
          <w:rFonts w:ascii="Times New Roman" w:eastAsia="Calibri" w:hAnsi="Times New Roman" w:cs="Times New Roman"/>
          <w:iCs/>
          <w:color w:val="000000"/>
          <w:sz w:val="30"/>
          <w:szCs w:val="30"/>
          <w:lang w:eastAsia="ru-RU"/>
        </w:rPr>
        <w:t>Законом Республики Беларусь от 13 декабря 2024</w:t>
      </w:r>
      <w:r w:rsidRPr="00B451BF">
        <w:rPr>
          <w:rFonts w:ascii="Times New Roman" w:eastAsia="Calibri" w:hAnsi="Times New Roman" w:cs="Times New Roman"/>
          <w:color w:val="000000"/>
          <w:sz w:val="30"/>
          <w:szCs w:val="30"/>
          <w:lang w:eastAsia="ru-RU"/>
        </w:rPr>
        <w:t xml:space="preserve"> г. № 47-З «Об изменении законов» (далее — Закон) предусмотрено </w:t>
      </w:r>
      <w:r w:rsidRPr="00B451BF">
        <w:rPr>
          <w:rFonts w:ascii="Times New Roman" w:eastAsia="Calibri" w:hAnsi="Times New Roman" w:cs="Times New Roman"/>
          <w:b/>
          <w:bCs/>
          <w:color w:val="000000"/>
          <w:sz w:val="30"/>
          <w:szCs w:val="30"/>
          <w:lang w:eastAsia="ru-RU"/>
        </w:rPr>
        <w:t>определение налоговой базы земельного налога — кадастровой стоимости</w:t>
      </w:r>
      <w:r w:rsidRPr="00B451BF">
        <w:rPr>
          <w:rFonts w:ascii="Times New Roman" w:eastAsia="Calibri" w:hAnsi="Times New Roman" w:cs="Times New Roman"/>
          <w:color w:val="000000"/>
          <w:sz w:val="30"/>
          <w:szCs w:val="30"/>
          <w:lang w:eastAsia="ru-RU"/>
        </w:rPr>
        <w:t xml:space="preserve"> в белорусских рублях с ее индексацией </w:t>
      </w:r>
      <w:r w:rsidRPr="00B451BF">
        <w:rPr>
          <w:rFonts w:ascii="Times New Roman" w:eastAsia="Calibri" w:hAnsi="Times New Roman" w:cs="Times New Roman"/>
          <w:i/>
          <w:iCs/>
          <w:color w:val="000000"/>
          <w:sz w:val="30"/>
          <w:szCs w:val="30"/>
          <w:lang w:eastAsia="ru-RU"/>
        </w:rPr>
        <w:t>(п. 1 ст. 6 Закона).</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widowControl w:val="0"/>
        <w:spacing w:before="100" w:beforeAutospacing="1" w:after="100" w:afterAutospacing="1" w:line="240" w:lineRule="auto"/>
        <w:ind w:right="12" w:firstLine="709"/>
        <w:jc w:val="both"/>
        <w:rPr>
          <w:rFonts w:ascii="Times New Roman" w:eastAsia="Times New Roman" w:hAnsi="Times New Roman" w:cs="Times New Roman"/>
          <w:sz w:val="24"/>
          <w:szCs w:val="24"/>
          <w:lang w:eastAsia="ru-RU"/>
        </w:rPr>
      </w:pPr>
      <w:r w:rsidRPr="00B451BF">
        <w:rPr>
          <w:rFonts w:ascii="Times New Roman" w:eastAsia="Calibri" w:hAnsi="Times New Roman" w:cs="Times New Roman"/>
          <w:color w:val="000000"/>
          <w:sz w:val="30"/>
          <w:szCs w:val="30"/>
          <w:lang w:eastAsia="ru-RU"/>
        </w:rPr>
        <w:t>Так, налоговая база земельного налога на 1 января 2025 г. для исчисления и уплаты земельного налога за 2025 г. определяется по видам функционального использования земельных участков в следующем порядке:</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widowControl w:val="0"/>
        <w:spacing w:before="100" w:beforeAutospacing="1" w:after="100" w:afterAutospacing="1" w:line="240" w:lineRule="auto"/>
        <w:ind w:right="12" w:firstLine="709"/>
        <w:jc w:val="both"/>
        <w:rPr>
          <w:rFonts w:ascii="Times New Roman" w:eastAsia="Times New Roman" w:hAnsi="Times New Roman" w:cs="Times New Roman"/>
          <w:sz w:val="24"/>
          <w:szCs w:val="24"/>
          <w:lang w:eastAsia="ru-RU"/>
        </w:rPr>
      </w:pPr>
      <w:r w:rsidRPr="00B451BF">
        <w:rPr>
          <w:rFonts w:ascii="Times New Roman" w:eastAsia="Calibri" w:hAnsi="Times New Roman" w:cs="Times New Roman"/>
          <w:color w:val="000000"/>
          <w:sz w:val="30"/>
          <w:szCs w:val="30"/>
          <w:lang w:eastAsia="ru-RU"/>
        </w:rPr>
        <w:t>для жилой многоквартирной зоны — в белорусских рублях на дату оценки такой зоны;</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widowControl w:val="0"/>
        <w:spacing w:before="100" w:beforeAutospacing="1" w:after="100" w:afterAutospacing="1" w:line="240" w:lineRule="auto"/>
        <w:ind w:right="12" w:firstLine="709"/>
        <w:jc w:val="both"/>
        <w:rPr>
          <w:rFonts w:ascii="Times New Roman" w:eastAsia="Times New Roman" w:hAnsi="Times New Roman" w:cs="Times New Roman"/>
          <w:sz w:val="24"/>
          <w:szCs w:val="24"/>
          <w:lang w:eastAsia="ru-RU"/>
        </w:rPr>
      </w:pPr>
      <w:r w:rsidRPr="00B451BF">
        <w:rPr>
          <w:rFonts w:ascii="Times New Roman" w:eastAsia="Calibri" w:hAnsi="Times New Roman" w:cs="Times New Roman"/>
          <w:color w:val="000000"/>
          <w:sz w:val="30"/>
          <w:szCs w:val="30"/>
          <w:lang w:eastAsia="ru-RU"/>
        </w:rPr>
        <w:t>для производственной зоны — в белорусских рублях на дату оценки такой зоны в сумме, проиндексированной с применением прогнозных индексов роста потребительских цен на 2024 и 2025 гг.;</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widowControl w:val="0"/>
        <w:spacing w:before="100" w:beforeAutospacing="1" w:after="100" w:afterAutospacing="1" w:line="240" w:lineRule="auto"/>
        <w:ind w:right="12" w:firstLine="709"/>
        <w:jc w:val="both"/>
        <w:rPr>
          <w:rFonts w:ascii="Times New Roman" w:eastAsia="Times New Roman" w:hAnsi="Times New Roman" w:cs="Times New Roman"/>
          <w:sz w:val="24"/>
          <w:szCs w:val="24"/>
          <w:lang w:eastAsia="ru-RU"/>
        </w:rPr>
      </w:pPr>
      <w:r w:rsidRPr="00B451BF">
        <w:rPr>
          <w:rFonts w:ascii="Times New Roman" w:eastAsia="Calibri" w:hAnsi="Times New Roman" w:cs="Times New Roman"/>
          <w:color w:val="000000"/>
          <w:sz w:val="30"/>
          <w:szCs w:val="30"/>
          <w:lang w:eastAsia="ru-RU"/>
        </w:rPr>
        <w:t>для общественно-деловой зоны — в белорусских рублях на дату оценки такой зоны в сумме, проиндексированной с применением сложившихся индексов роста потребительских цен за 2023 г. и прогнозных индексов роста потребительских цен на 2024 и 2025 гг.;</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widowControl w:val="0"/>
        <w:spacing w:before="100" w:beforeAutospacing="1" w:after="100" w:afterAutospacing="1" w:line="240" w:lineRule="auto"/>
        <w:ind w:right="12" w:firstLine="709"/>
        <w:jc w:val="both"/>
        <w:rPr>
          <w:rFonts w:ascii="Times New Roman" w:eastAsia="Times New Roman" w:hAnsi="Times New Roman" w:cs="Times New Roman"/>
          <w:sz w:val="24"/>
          <w:szCs w:val="24"/>
          <w:lang w:eastAsia="ru-RU"/>
        </w:rPr>
      </w:pPr>
      <w:proofErr w:type="gramStart"/>
      <w:r w:rsidRPr="00B451BF">
        <w:rPr>
          <w:rFonts w:ascii="Times New Roman" w:eastAsia="Calibri" w:hAnsi="Times New Roman" w:cs="Times New Roman"/>
          <w:color w:val="000000"/>
          <w:sz w:val="30"/>
          <w:szCs w:val="30"/>
          <w:lang w:eastAsia="ru-RU"/>
        </w:rPr>
        <w:t>для жилой усадебной (включая садоводческие товарищества и дачные кооперативы) и рекреационной зон — в белорусских рублях на дату оценки таких зон в сумме, проиндексированной с применением сложившихся индексов роста потребительских цен за 2021, 2022 и 2023 гг. и прогнозных индексов роста потребительских цен на 2024 и 2025 гг.</w:t>
      </w:r>
      <w:r w:rsidRPr="00B451BF">
        <w:rPr>
          <w:rFonts w:ascii="Times New Roman" w:eastAsia="Times New Roman" w:hAnsi="Times New Roman" w:cs="Times New Roman"/>
          <w:sz w:val="24"/>
          <w:szCs w:val="24"/>
          <w:lang w:eastAsia="ru-RU"/>
        </w:rPr>
        <w:t xml:space="preserve"> </w:t>
      </w:r>
      <w:proofErr w:type="gramEnd"/>
    </w:p>
    <w:p w:rsidR="00B451BF" w:rsidRPr="00B451BF" w:rsidRDefault="00B451BF" w:rsidP="00B451BF">
      <w:pPr>
        <w:widowControl w:val="0"/>
        <w:spacing w:before="100" w:beforeAutospacing="1" w:after="100" w:afterAutospacing="1" w:line="240" w:lineRule="auto"/>
        <w:ind w:right="12"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Кроме того, согласно Закону в 2025</w:t>
      </w:r>
      <w:r w:rsidRPr="00B451BF">
        <w:rPr>
          <w:rFonts w:ascii="Times New Roman" w:eastAsia="Calibri" w:hAnsi="Times New Roman" w:cs="Times New Roman"/>
          <w:color w:val="000000"/>
          <w:sz w:val="30"/>
          <w:szCs w:val="30"/>
          <w:lang w:eastAsia="ru-RU"/>
        </w:rPr>
        <w:t> </w:t>
      </w:r>
      <w:r w:rsidRPr="00B451BF">
        <w:rPr>
          <w:rFonts w:ascii="Times New Roman" w:eastAsia="Times New Roman" w:hAnsi="Times New Roman" w:cs="Times New Roman"/>
          <w:color w:val="000000"/>
          <w:sz w:val="30"/>
          <w:szCs w:val="30"/>
          <w:lang w:eastAsia="ru-RU"/>
        </w:rPr>
        <w:t xml:space="preserve">г. проиндексированы пороговые значения кадастровой стоимости </w:t>
      </w:r>
      <w:r w:rsidRPr="00B451BF">
        <w:rPr>
          <w:rFonts w:ascii="Times New Roman" w:eastAsia="Calibri" w:hAnsi="Times New Roman" w:cs="Times New Roman"/>
          <w:color w:val="000000"/>
          <w:sz w:val="30"/>
          <w:szCs w:val="30"/>
          <w:lang w:eastAsia="ru-RU"/>
        </w:rPr>
        <w:t>на прогнозный уровень инфляции (</w:t>
      </w:r>
      <w:r w:rsidRPr="00B451BF">
        <w:rPr>
          <w:rFonts w:ascii="Times New Roman" w:eastAsia="Times New Roman" w:hAnsi="Times New Roman" w:cs="Times New Roman"/>
          <w:color w:val="000000"/>
          <w:sz w:val="30"/>
          <w:szCs w:val="30"/>
          <w:lang w:eastAsia="ru-RU"/>
        </w:rPr>
        <w:t>на 5,4 %) по сравнению с пороговыми значениями, установленными статьей 240 Налогового кодекса Республики Беларусь (далее</w:t>
      </w:r>
      <w:r w:rsidRPr="00B451BF">
        <w:rPr>
          <w:rFonts w:ascii="Times New Roman" w:eastAsia="Calibri" w:hAnsi="Times New Roman" w:cs="Times New Roman"/>
          <w:color w:val="000000"/>
          <w:sz w:val="30"/>
          <w:szCs w:val="30"/>
          <w:lang w:eastAsia="ru-RU"/>
        </w:rPr>
        <w:t xml:space="preserve"> — </w:t>
      </w:r>
      <w:r w:rsidRPr="00B451BF">
        <w:rPr>
          <w:rFonts w:ascii="Times New Roman" w:eastAsia="Times New Roman" w:hAnsi="Times New Roman" w:cs="Times New Roman"/>
          <w:color w:val="000000"/>
          <w:sz w:val="30"/>
          <w:szCs w:val="30"/>
          <w:lang w:eastAsia="ru-RU"/>
        </w:rPr>
        <w:t>НК) на 2024 г., используемые для определения земельных участков, по которым в качестве налоговой базы земельного налога используется площадь.</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widowControl w:val="0"/>
        <w:spacing w:before="100" w:beforeAutospacing="1" w:after="100" w:afterAutospacing="1" w:line="240" w:lineRule="auto"/>
        <w:ind w:right="12" w:firstLine="709"/>
        <w:jc w:val="both"/>
        <w:rPr>
          <w:rFonts w:ascii="Times New Roman" w:eastAsia="Times New Roman" w:hAnsi="Times New Roman" w:cs="Times New Roman"/>
          <w:sz w:val="24"/>
          <w:szCs w:val="24"/>
          <w:lang w:eastAsia="ru-RU"/>
        </w:rPr>
      </w:pPr>
      <w:r w:rsidRPr="00B451BF">
        <w:rPr>
          <w:rFonts w:ascii="Times New Roman" w:eastAsia="Calibri" w:hAnsi="Times New Roman" w:cs="Times New Roman"/>
          <w:color w:val="000000"/>
          <w:sz w:val="30"/>
          <w:szCs w:val="30"/>
          <w:lang w:eastAsia="ru-RU"/>
        </w:rPr>
        <w:lastRenderedPageBreak/>
        <w:t>Так, в</w:t>
      </w:r>
      <w:r w:rsidRPr="00B451BF">
        <w:rPr>
          <w:rFonts w:ascii="Times New Roman" w:eastAsia="Times New Roman" w:hAnsi="Times New Roman" w:cs="Times New Roman"/>
          <w:color w:val="000000"/>
          <w:sz w:val="30"/>
          <w:szCs w:val="30"/>
          <w:lang w:eastAsia="ru-RU"/>
        </w:rPr>
        <w:t xml:space="preserve"> 2025 г. площадь земельного участка устанавливается в качестве налоговой базы земельного налога для земельных участков:</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bookmarkStart w:id="0" w:name="Par1"/>
      <w:bookmarkEnd w:id="0"/>
      <w:r w:rsidRPr="00B451BF">
        <w:rPr>
          <w:rFonts w:ascii="Times New Roman" w:eastAsia="Times New Roman" w:hAnsi="Times New Roman" w:cs="Times New Roman"/>
          <w:color w:val="000000"/>
          <w:sz w:val="30"/>
          <w:szCs w:val="30"/>
          <w:lang w:eastAsia="ru-RU"/>
        </w:rPr>
        <w:t>общественно-деловой зоны для размещения автомобильных заправочных и газонаполнительных станций при кадастровой стоимости таких земельных участков менее 12</w:t>
      </w:r>
      <w:r w:rsidRPr="00B451BF">
        <w:rPr>
          <w:rFonts w:ascii="Times New Roman" w:eastAsia="Calibri" w:hAnsi="Times New Roman" w:cs="Times New Roman"/>
          <w:color w:val="000000"/>
          <w:sz w:val="30"/>
          <w:szCs w:val="30"/>
          <w:lang w:eastAsia="ru-RU"/>
        </w:rPr>
        <w:t> </w:t>
      </w:r>
      <w:r w:rsidRPr="00B451BF">
        <w:rPr>
          <w:rFonts w:ascii="Times New Roman" w:eastAsia="Times New Roman" w:hAnsi="Times New Roman" w:cs="Times New Roman"/>
          <w:color w:val="000000"/>
          <w:sz w:val="30"/>
          <w:szCs w:val="30"/>
          <w:lang w:eastAsia="ru-RU"/>
        </w:rPr>
        <w:t>484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bookmarkStart w:id="1" w:name="Par2"/>
      <w:bookmarkEnd w:id="1"/>
      <w:r w:rsidRPr="00B451BF">
        <w:rPr>
          <w:rFonts w:ascii="Times New Roman" w:eastAsia="Times New Roman" w:hAnsi="Times New Roman" w:cs="Times New Roman"/>
          <w:color w:val="000000"/>
          <w:sz w:val="30"/>
          <w:szCs w:val="30"/>
          <w:lang w:eastAsia="ru-RU"/>
        </w:rPr>
        <w:t>общественно-деловой зоны для размещения автомобильных рынков, игорных заведений при кадастровой стоимости таких земельных участков менее 8</w:t>
      </w:r>
      <w:r w:rsidRPr="00B451BF">
        <w:rPr>
          <w:rFonts w:ascii="Times New Roman" w:eastAsia="Calibri" w:hAnsi="Times New Roman" w:cs="Times New Roman"/>
          <w:color w:val="000000"/>
          <w:sz w:val="30"/>
          <w:szCs w:val="30"/>
          <w:lang w:eastAsia="ru-RU"/>
        </w:rPr>
        <w:t> </w:t>
      </w:r>
      <w:r w:rsidRPr="00B451BF">
        <w:rPr>
          <w:rFonts w:ascii="Times New Roman" w:eastAsia="Times New Roman" w:hAnsi="Times New Roman" w:cs="Times New Roman"/>
          <w:color w:val="000000"/>
          <w:sz w:val="30"/>
          <w:szCs w:val="30"/>
          <w:lang w:eastAsia="ru-RU"/>
        </w:rPr>
        <w:t>321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общественно-деловой зоны, за исключением указанных в подпунктах 6.5 и 6.6 пункта 6 статьи 240 НК, при кадастровой стоимости таких земельных участков менее 45</w:t>
      </w:r>
      <w:r w:rsidRPr="00B451BF">
        <w:rPr>
          <w:rFonts w:ascii="Times New Roman" w:eastAsia="Calibri" w:hAnsi="Times New Roman" w:cs="Times New Roman"/>
          <w:color w:val="000000"/>
          <w:sz w:val="30"/>
          <w:szCs w:val="30"/>
          <w:lang w:eastAsia="ru-RU"/>
        </w:rPr>
        <w:t> </w:t>
      </w:r>
      <w:r w:rsidRPr="00B451BF">
        <w:rPr>
          <w:rFonts w:ascii="Times New Roman" w:eastAsia="Times New Roman" w:hAnsi="Times New Roman" w:cs="Times New Roman"/>
          <w:color w:val="000000"/>
          <w:sz w:val="30"/>
          <w:szCs w:val="30"/>
          <w:lang w:eastAsia="ru-RU"/>
        </w:rPr>
        <w:t>391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производственной зоны при кадастровой стоимости таких земельных участков менее 22</w:t>
      </w:r>
      <w:r w:rsidRPr="00B451BF">
        <w:rPr>
          <w:rFonts w:ascii="Times New Roman" w:eastAsia="Calibri" w:hAnsi="Times New Roman" w:cs="Times New Roman"/>
          <w:color w:val="000000"/>
          <w:sz w:val="30"/>
          <w:szCs w:val="30"/>
          <w:lang w:eastAsia="ru-RU"/>
        </w:rPr>
        <w:t> </w:t>
      </w:r>
      <w:r w:rsidRPr="00B451BF">
        <w:rPr>
          <w:rFonts w:ascii="Times New Roman" w:eastAsia="Times New Roman" w:hAnsi="Times New Roman" w:cs="Times New Roman"/>
          <w:color w:val="000000"/>
          <w:sz w:val="30"/>
          <w:szCs w:val="30"/>
          <w:lang w:eastAsia="ru-RU"/>
        </w:rPr>
        <w:t>694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рекреационной зоны при кадастровой стоимости таких земельных участков менее 24</w:t>
      </w:r>
      <w:r w:rsidRPr="00B451BF">
        <w:rPr>
          <w:rFonts w:ascii="Times New Roman" w:eastAsia="Calibri" w:hAnsi="Times New Roman" w:cs="Times New Roman"/>
          <w:color w:val="000000"/>
          <w:sz w:val="30"/>
          <w:szCs w:val="30"/>
          <w:lang w:eastAsia="ru-RU"/>
        </w:rPr>
        <w:t> </w:t>
      </w:r>
      <w:r w:rsidRPr="00B451BF">
        <w:rPr>
          <w:rFonts w:ascii="Times New Roman" w:eastAsia="Times New Roman" w:hAnsi="Times New Roman" w:cs="Times New Roman"/>
          <w:color w:val="000000"/>
          <w:sz w:val="30"/>
          <w:szCs w:val="30"/>
          <w:lang w:eastAsia="ru-RU"/>
        </w:rPr>
        <w:t>963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жилой многоквартирной зоны при кадастровой стоимости таких земельных участков менее 66</w:t>
      </w:r>
      <w:r w:rsidRPr="00B451BF">
        <w:rPr>
          <w:rFonts w:ascii="Times New Roman" w:eastAsia="Calibri" w:hAnsi="Times New Roman" w:cs="Times New Roman"/>
          <w:color w:val="000000"/>
          <w:sz w:val="30"/>
          <w:szCs w:val="30"/>
          <w:lang w:eastAsia="ru-RU"/>
        </w:rPr>
        <w:t> </w:t>
      </w:r>
      <w:r w:rsidRPr="00B451BF">
        <w:rPr>
          <w:rFonts w:ascii="Times New Roman" w:eastAsia="Times New Roman" w:hAnsi="Times New Roman" w:cs="Times New Roman"/>
          <w:color w:val="000000"/>
          <w:sz w:val="30"/>
          <w:szCs w:val="30"/>
          <w:lang w:eastAsia="ru-RU"/>
        </w:rPr>
        <w:t>575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жилой усадебной зоны при кадастровой стоимости таких земельных участков менее 33</w:t>
      </w:r>
      <w:r w:rsidRPr="00B451BF">
        <w:rPr>
          <w:rFonts w:ascii="Times New Roman" w:eastAsia="Calibri" w:hAnsi="Times New Roman" w:cs="Times New Roman"/>
          <w:color w:val="000000"/>
          <w:sz w:val="30"/>
          <w:szCs w:val="30"/>
          <w:lang w:eastAsia="ru-RU"/>
        </w:rPr>
        <w:t> </w:t>
      </w:r>
      <w:r w:rsidRPr="00B451BF">
        <w:rPr>
          <w:rFonts w:ascii="Times New Roman" w:eastAsia="Times New Roman" w:hAnsi="Times New Roman" w:cs="Times New Roman"/>
          <w:color w:val="000000"/>
          <w:sz w:val="30"/>
          <w:szCs w:val="30"/>
          <w:lang w:eastAsia="ru-RU"/>
        </w:rPr>
        <w:t>290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b/>
          <w:bCs/>
          <w:color w:val="000000"/>
          <w:sz w:val="30"/>
          <w:szCs w:val="30"/>
          <w:lang w:eastAsia="ru-RU"/>
        </w:rPr>
        <w:t>С 1 января 2026 г.</w:t>
      </w:r>
      <w:r w:rsidRPr="00B451BF">
        <w:rPr>
          <w:rFonts w:ascii="Times New Roman" w:eastAsia="Times New Roman" w:hAnsi="Times New Roman" w:cs="Times New Roman"/>
          <w:color w:val="000000"/>
          <w:sz w:val="30"/>
          <w:szCs w:val="30"/>
          <w:lang w:eastAsia="ru-RU"/>
        </w:rPr>
        <w:t xml:space="preserve"> для земельных участков, которые по состоянию на конец года, за который исчисляется налог, являются незарегистрированными земельными участками, в качестве налоговой базы устанавливается </w:t>
      </w:r>
      <w:r w:rsidRPr="00B451BF">
        <w:rPr>
          <w:rFonts w:ascii="Times New Roman" w:eastAsia="Times New Roman" w:hAnsi="Times New Roman" w:cs="Times New Roman"/>
          <w:sz w:val="30"/>
          <w:szCs w:val="30"/>
          <w:lang w:eastAsia="ru-RU"/>
        </w:rPr>
        <w:t>площадь земельного участка</w:t>
      </w:r>
      <w:r w:rsidRPr="00B451BF">
        <w:rPr>
          <w:rFonts w:ascii="Times New Roman" w:eastAsia="Times New Roman" w:hAnsi="Times New Roman" w:cs="Times New Roman"/>
          <w:i/>
          <w:iCs/>
          <w:sz w:val="30"/>
          <w:szCs w:val="30"/>
          <w:lang w:eastAsia="ru-RU"/>
        </w:rPr>
        <w:t xml:space="preserve"> (подп. 6.13 п. 6 ст. 240 НК).</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b/>
          <w:bCs/>
          <w:i/>
          <w:iCs/>
          <w:sz w:val="28"/>
          <w:szCs w:val="28"/>
          <w:lang w:eastAsia="ru-RU"/>
        </w:rPr>
        <w:t>Справочно</w:t>
      </w:r>
      <w:r w:rsidRPr="00B451BF">
        <w:rPr>
          <w:rFonts w:ascii="Times New Roman" w:eastAsia="Times New Roman" w:hAnsi="Times New Roman" w:cs="Times New Roman"/>
          <w:i/>
          <w:iCs/>
          <w:sz w:val="28"/>
          <w:szCs w:val="28"/>
          <w:lang w:eastAsia="ru-RU"/>
        </w:rPr>
        <w:t xml:space="preserve">: термин «незарегистрированные земельные участки» содержится в пункте 3 статьи 243 НК. </w:t>
      </w:r>
      <w:proofErr w:type="gramStart"/>
      <w:r w:rsidRPr="00B451BF">
        <w:rPr>
          <w:rFonts w:ascii="Times New Roman" w:eastAsia="Times New Roman" w:hAnsi="Times New Roman" w:cs="Times New Roman"/>
          <w:i/>
          <w:iCs/>
          <w:sz w:val="28"/>
          <w:szCs w:val="28"/>
          <w:lang w:eastAsia="ru-RU"/>
        </w:rPr>
        <w:t>К незарегистрированным земельным участкам относятся земельные участки организаций, относящиеся к общественно-деловой, производственной, рекреационной, жилой усадебной и жилой многоквартирной зонам, государственная регистрация которых не произведена (в случае, если они подлежат государственной регистрации), а также земельные участки, предоставленные во временное пользование сроком до одного года.</w:t>
      </w:r>
      <w:r w:rsidRPr="00B451BF">
        <w:rPr>
          <w:rFonts w:ascii="Times New Roman" w:eastAsia="Times New Roman" w:hAnsi="Times New Roman" w:cs="Times New Roman"/>
          <w:sz w:val="24"/>
          <w:szCs w:val="24"/>
          <w:lang w:eastAsia="ru-RU"/>
        </w:rPr>
        <w:t xml:space="preserve"> </w:t>
      </w:r>
      <w:proofErr w:type="gramEnd"/>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b/>
          <w:bCs/>
          <w:color w:val="000000"/>
          <w:sz w:val="30"/>
          <w:szCs w:val="30"/>
          <w:lang w:eastAsia="ru-RU"/>
        </w:rPr>
        <w:t>Ставки земельного налога</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lastRenderedPageBreak/>
        <w:t>В 2025 г. устанавливается фиксированная ставка земельного налога в размере 501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 xml:space="preserve">уб. за гектар для земельных участков промышленности, транспорта, связи, энергетики, обороны и иного назначения, расположенных за пределами населенных пунктов, предоставленных организациям из земель лесного фонда для строительства и обслуживания линейных объектов (газопроводы, нефтепроводы, воздушные и кабельные линии электропередачи и связи и другое) </w:t>
      </w:r>
      <w:r w:rsidRPr="00B451BF">
        <w:rPr>
          <w:rFonts w:ascii="Times New Roman" w:eastAsia="Times New Roman" w:hAnsi="Times New Roman" w:cs="Times New Roman"/>
          <w:i/>
          <w:iCs/>
          <w:color w:val="000000"/>
          <w:sz w:val="30"/>
          <w:szCs w:val="30"/>
          <w:lang w:eastAsia="ru-RU"/>
        </w:rPr>
        <w:t xml:space="preserve">(подп. 6.4 п. 6 ст. 241 </w:t>
      </w:r>
      <w:proofErr w:type="gramStart"/>
      <w:r w:rsidRPr="00B451BF">
        <w:rPr>
          <w:rFonts w:ascii="Times New Roman" w:eastAsia="Times New Roman" w:hAnsi="Times New Roman" w:cs="Times New Roman"/>
          <w:i/>
          <w:iCs/>
          <w:color w:val="000000"/>
          <w:sz w:val="30"/>
          <w:szCs w:val="30"/>
          <w:lang w:eastAsia="ru-RU"/>
        </w:rPr>
        <w:t>НК</w:t>
      </w:r>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В 2024 г. такая ставка была установлена в размере 475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overflowPunct w:val="0"/>
        <w:autoSpaceDE w:val="0"/>
        <w:autoSpaceDN w:val="0"/>
        <w:adjustRightInd w:val="0"/>
        <w:spacing w:before="100" w:beforeAutospacing="1" w:after="100" w:afterAutospacing="1" w:line="240" w:lineRule="auto"/>
        <w:ind w:right="142" w:firstLine="709"/>
        <w:jc w:val="both"/>
        <w:textAlignment w:val="baseline"/>
        <w:rPr>
          <w:rFonts w:ascii="Times New Roman" w:eastAsia="Times New Roman" w:hAnsi="Times New Roman" w:cs="Times New Roman"/>
          <w:sz w:val="24"/>
          <w:szCs w:val="24"/>
          <w:lang w:eastAsia="ru-RU"/>
        </w:rPr>
      </w:pPr>
      <w:r w:rsidRPr="00B451BF">
        <w:rPr>
          <w:rFonts w:ascii="Times New Roman" w:eastAsia="Times New Roman" w:hAnsi="Times New Roman" w:cs="Times New Roman"/>
          <w:sz w:val="30"/>
          <w:szCs w:val="28"/>
          <w:lang w:eastAsia="ru-RU"/>
        </w:rPr>
        <w:t xml:space="preserve">С 2025 года перечень плательщиков, на которых не распространяются решения местных Советов депутатов об увеличении ставок земельного налога, дополнен организациями, которым решениями Совета Министров Республики Беларусь изменен установленный законодательством срок уплаты налогов, сборов (пошлин) и пеней </w:t>
      </w:r>
      <w:r w:rsidRPr="00B451BF">
        <w:rPr>
          <w:rFonts w:ascii="Times New Roman" w:eastAsia="Times New Roman" w:hAnsi="Times New Roman" w:cs="Times New Roman"/>
          <w:i/>
          <w:iCs/>
          <w:sz w:val="30"/>
          <w:szCs w:val="28"/>
          <w:lang w:eastAsia="ru-RU"/>
        </w:rPr>
        <w:t>(</w:t>
      </w:r>
      <w:proofErr w:type="spellStart"/>
      <w:r w:rsidRPr="00B451BF">
        <w:rPr>
          <w:rFonts w:ascii="Times New Roman" w:eastAsia="Times New Roman" w:hAnsi="Times New Roman" w:cs="Times New Roman"/>
          <w:i/>
          <w:iCs/>
          <w:sz w:val="30"/>
          <w:szCs w:val="28"/>
          <w:lang w:eastAsia="ru-RU"/>
        </w:rPr>
        <w:t>абз</w:t>
      </w:r>
      <w:proofErr w:type="spellEnd"/>
      <w:r w:rsidRPr="00B451BF">
        <w:rPr>
          <w:rFonts w:ascii="Times New Roman" w:eastAsia="Times New Roman" w:hAnsi="Times New Roman" w:cs="Times New Roman"/>
          <w:i/>
          <w:iCs/>
          <w:sz w:val="30"/>
          <w:szCs w:val="28"/>
          <w:lang w:eastAsia="ru-RU"/>
        </w:rPr>
        <w:t>. 2 п. 11 ст. 241 НК)</w:t>
      </w:r>
      <w:r w:rsidRPr="00B451BF">
        <w:rPr>
          <w:rFonts w:ascii="Times New Roman" w:eastAsia="Times New Roman" w:hAnsi="Times New Roman" w:cs="Times New Roman"/>
          <w:sz w:val="30"/>
          <w:szCs w:val="28"/>
          <w:lang w:eastAsia="ru-RU"/>
        </w:rPr>
        <w:t>.</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Проиндексированы на прогнозный уровень инфляции (на 5,4 %) ставки земельного налога на земельные участки, по которым в качестве налоговой базы земельного налога применяется площадь земельных участков, за исключением земель и земельных участков, указанных в пунктах 2–5 статьи 241 НК, а именно:</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для общественно-деловой, производственной и рекреационной зон, за исключением земельных участков, указанных в подпункте 6.4 пункта 6 статьи 241 НК, а с 01.01.2026 и за исключением земельных участков, указанных в подпункте 6.5 пункта 6 статьи 241 НК, — в размере 249,63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для жилой многоквартирной зоны, с 01.01.2026 за исключением земельных участков, указанных в подпункте 6.5 пункта 6 статьи 241 НК, — в размере 16,66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для жилой усадебной зоны, с 01.01.2026 за исключением земельных участков, указанных в подпункте 6.5 пункта 6 статьи 241 НК, — в размере 33,29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b/>
          <w:bCs/>
          <w:color w:val="000000"/>
          <w:sz w:val="30"/>
          <w:szCs w:val="30"/>
          <w:lang w:eastAsia="ru-RU"/>
        </w:rPr>
        <w:t xml:space="preserve">С 2026 года </w:t>
      </w:r>
      <w:r w:rsidRPr="00B451BF">
        <w:rPr>
          <w:rFonts w:ascii="Times New Roman" w:eastAsia="Times New Roman" w:hAnsi="Times New Roman" w:cs="Times New Roman"/>
          <w:color w:val="000000"/>
          <w:sz w:val="30"/>
          <w:szCs w:val="30"/>
          <w:lang w:eastAsia="ru-RU"/>
        </w:rPr>
        <w:t>вступят в силу положения подпункта 6.5 пункта 6 статьи 241 НК, которыми устанавливаются ставки земельного налога для земельных участков, которые на 31 декабря 2026 года будут признаваться незарегистрированными земельными участками, относящимися:</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lastRenderedPageBreak/>
        <w:t>к общественно-деловой, производственной и рекреационной зонам, — в размере 748,89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к жилой усадебной зоне, — в размере 49,98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к жилой многоквартирной зоне, — в размере 99,87 бел</w:t>
      </w:r>
      <w:proofErr w:type="gramStart"/>
      <w:r w:rsidRPr="00B451BF">
        <w:rPr>
          <w:rFonts w:ascii="Times New Roman" w:eastAsia="Times New Roman" w:hAnsi="Times New Roman" w:cs="Times New Roman"/>
          <w:color w:val="000000"/>
          <w:sz w:val="30"/>
          <w:szCs w:val="30"/>
          <w:lang w:eastAsia="ru-RU"/>
        </w:rPr>
        <w:t>.</w:t>
      </w:r>
      <w:proofErr w:type="gramEnd"/>
      <w:r w:rsidRPr="00B451BF">
        <w:rPr>
          <w:rFonts w:ascii="Times New Roman" w:eastAsia="Times New Roman" w:hAnsi="Times New Roman" w:cs="Times New Roman"/>
          <w:color w:val="000000"/>
          <w:sz w:val="30"/>
          <w:szCs w:val="30"/>
          <w:lang w:eastAsia="ru-RU"/>
        </w:rPr>
        <w:t xml:space="preserve"> </w:t>
      </w:r>
      <w:proofErr w:type="gramStart"/>
      <w:r w:rsidRPr="00B451BF">
        <w:rPr>
          <w:rFonts w:ascii="Times New Roman" w:eastAsia="Times New Roman" w:hAnsi="Times New Roman" w:cs="Times New Roman"/>
          <w:color w:val="000000"/>
          <w:sz w:val="30"/>
          <w:szCs w:val="30"/>
          <w:lang w:eastAsia="ru-RU"/>
        </w:rPr>
        <w:t>р</w:t>
      </w:r>
      <w:proofErr w:type="gramEnd"/>
      <w:r w:rsidRPr="00B451BF">
        <w:rPr>
          <w:rFonts w:ascii="Times New Roman" w:eastAsia="Times New Roman" w:hAnsi="Times New Roman" w:cs="Times New Roman"/>
          <w:color w:val="000000"/>
          <w:sz w:val="30"/>
          <w:szCs w:val="30"/>
          <w:lang w:eastAsia="ru-RU"/>
        </w:rPr>
        <w:t>уб. за гектар.</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Ставки земельного налога на сельскохозяйственные земли сельскохозяйственного назначения и средние ставки земельного налога по районам Республики Беларусь (прил. 3 и 4 к НК соответственно) также проиндексированы.</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color w:val="000000"/>
          <w:sz w:val="30"/>
          <w:szCs w:val="30"/>
          <w:lang w:eastAsia="ru-RU"/>
        </w:rPr>
        <w:t>С 1 января 2025 г. ставка земельного налога, увеличенная на коэффициент 3, установленная пунктом 12</w:t>
      </w:r>
      <w:r w:rsidRPr="00B451BF">
        <w:rPr>
          <w:rFonts w:ascii="Times New Roman" w:eastAsia="Times New Roman" w:hAnsi="Times New Roman" w:cs="Times New Roman"/>
          <w:color w:val="000000"/>
          <w:sz w:val="30"/>
          <w:szCs w:val="30"/>
          <w:vertAlign w:val="superscript"/>
          <w:lang w:eastAsia="ru-RU"/>
        </w:rPr>
        <w:t>1</w:t>
      </w:r>
      <w:r w:rsidRPr="00B451BF">
        <w:rPr>
          <w:rFonts w:ascii="Times New Roman" w:eastAsia="Times New Roman" w:hAnsi="Times New Roman" w:cs="Times New Roman"/>
          <w:color w:val="000000"/>
          <w:sz w:val="30"/>
          <w:szCs w:val="30"/>
          <w:lang w:eastAsia="ru-RU"/>
        </w:rPr>
        <w:t xml:space="preserve"> статьи 241 НК, не применяется управлениями капитального строительства, а также организациями, определенными пунктом 7 статьи 146 НК.</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b/>
          <w:bCs/>
          <w:i/>
          <w:iCs/>
          <w:color w:val="000000"/>
          <w:sz w:val="28"/>
          <w:szCs w:val="28"/>
          <w:lang w:eastAsia="ru-RU"/>
        </w:rPr>
        <w:t>Справочно</w:t>
      </w:r>
      <w:r w:rsidRPr="00B451BF">
        <w:rPr>
          <w:rFonts w:ascii="Times New Roman" w:eastAsia="Times New Roman" w:hAnsi="Times New Roman" w:cs="Times New Roman"/>
          <w:i/>
          <w:iCs/>
          <w:color w:val="000000"/>
          <w:sz w:val="28"/>
          <w:szCs w:val="28"/>
          <w:lang w:eastAsia="ru-RU"/>
        </w:rPr>
        <w:t xml:space="preserve">: к организациям, определенным пунктом 7 статьи 146 НК, относятся организации, соответствующие в совокупности </w:t>
      </w:r>
      <w:proofErr w:type="gramStart"/>
      <w:r w:rsidRPr="00B451BF">
        <w:rPr>
          <w:rFonts w:ascii="Times New Roman" w:eastAsia="Times New Roman" w:hAnsi="Times New Roman" w:cs="Times New Roman"/>
          <w:i/>
          <w:iCs/>
          <w:color w:val="000000"/>
          <w:sz w:val="28"/>
          <w:szCs w:val="28"/>
          <w:lang w:eastAsia="ru-RU"/>
        </w:rPr>
        <w:t>следующими</w:t>
      </w:r>
      <w:proofErr w:type="gramEnd"/>
      <w:r w:rsidRPr="00B451BF">
        <w:rPr>
          <w:rFonts w:ascii="Times New Roman" w:eastAsia="Times New Roman" w:hAnsi="Times New Roman" w:cs="Times New Roman"/>
          <w:i/>
          <w:iCs/>
          <w:color w:val="000000"/>
          <w:sz w:val="28"/>
          <w:szCs w:val="28"/>
          <w:lang w:eastAsia="ru-RU"/>
        </w:rPr>
        <w:t xml:space="preserve"> критериям:</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i/>
          <w:iCs/>
          <w:color w:val="000000"/>
          <w:sz w:val="28"/>
          <w:szCs w:val="28"/>
          <w:lang w:eastAsia="ru-RU"/>
        </w:rPr>
        <w:t>основным видом их деятельности является производство нефтепродуктов, перечисленных в группе 27 единой Товарной номенклатуры внешнеэкономической деятельности Евразийского экономического союза;</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i/>
          <w:iCs/>
          <w:color w:val="000000"/>
          <w:sz w:val="28"/>
          <w:szCs w:val="28"/>
          <w:lang w:eastAsia="ru-RU"/>
        </w:rPr>
        <w:t>объем реализации (передачи) ими на территории Республики Беларусь автомобильного бензина и (или) дизельного топлива за налоговый период, предшествующий месяцу получения (оприходования) ввезенной на территорию Республики Беларусь с территории Российской Федерации нефти, составляет не менее 50 тысяч тонн;</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i/>
          <w:iCs/>
          <w:color w:val="000000"/>
          <w:sz w:val="28"/>
          <w:szCs w:val="28"/>
          <w:lang w:eastAsia="ru-RU"/>
        </w:rPr>
        <w:t>ими осуществляется реализация инвестиционного проекта по модернизации и (или) реконструкции нефтеперерабатывающего завода, имеющего в своем составе взрывоопасные технологические блоки первой категории взрывоопасности, от налогового периода, на который приходится момент получения разрешительной документации на проектирование, до налогового периода, на который приходится дата ввода объекта строительства в эксплуатацию, включительно.</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overflowPunct w:val="0"/>
        <w:autoSpaceDE w:val="0"/>
        <w:autoSpaceDN w:val="0"/>
        <w:adjustRightInd w:val="0"/>
        <w:spacing w:before="100" w:beforeAutospacing="1" w:after="100" w:afterAutospacing="1" w:line="240" w:lineRule="auto"/>
        <w:ind w:firstLine="709"/>
        <w:jc w:val="both"/>
        <w:textAlignment w:val="baseline"/>
        <w:rPr>
          <w:rFonts w:ascii="Times New Roman" w:eastAsia="Times New Roman" w:hAnsi="Times New Roman" w:cs="Times New Roman"/>
          <w:sz w:val="24"/>
          <w:szCs w:val="24"/>
          <w:lang w:eastAsia="ru-RU"/>
        </w:rPr>
      </w:pPr>
      <w:r w:rsidRPr="00B451BF">
        <w:rPr>
          <w:rFonts w:ascii="Times New Roman" w:eastAsia="Times New Roman" w:hAnsi="Times New Roman" w:cs="Times New Roman"/>
          <w:sz w:val="30"/>
          <w:szCs w:val="20"/>
          <w:lang w:eastAsia="ru-RU"/>
        </w:rPr>
        <w:t xml:space="preserve">Местным Советам депутатов с 2025 года предоставляется право освобождать отдельные категории плательщиков от применения коэффициента 3 в отношении земельных участков, на которых отсутствуют капитальные строения </w:t>
      </w:r>
      <w:r w:rsidRPr="00B451BF">
        <w:rPr>
          <w:rFonts w:ascii="Times New Roman" w:eastAsia="Times New Roman" w:hAnsi="Times New Roman" w:cs="Times New Roman"/>
          <w:i/>
          <w:iCs/>
          <w:sz w:val="30"/>
          <w:szCs w:val="20"/>
          <w:lang w:eastAsia="ru-RU"/>
        </w:rPr>
        <w:t>(п. 12</w:t>
      </w:r>
      <w:r w:rsidRPr="00B451BF">
        <w:rPr>
          <w:rFonts w:ascii="Times New Roman" w:eastAsia="Times New Roman" w:hAnsi="Times New Roman" w:cs="Times New Roman"/>
          <w:i/>
          <w:iCs/>
          <w:sz w:val="30"/>
          <w:szCs w:val="20"/>
          <w:vertAlign w:val="superscript"/>
          <w:lang w:eastAsia="ru-RU"/>
        </w:rPr>
        <w:t>1</w:t>
      </w:r>
      <w:r w:rsidRPr="00B451BF">
        <w:rPr>
          <w:rFonts w:ascii="Times New Roman" w:eastAsia="Times New Roman" w:hAnsi="Times New Roman" w:cs="Times New Roman"/>
          <w:i/>
          <w:iCs/>
          <w:sz w:val="30"/>
          <w:szCs w:val="20"/>
          <w:lang w:eastAsia="ru-RU"/>
        </w:rPr>
        <w:t xml:space="preserve"> ст. 241 НК)</w:t>
      </w:r>
      <w:r w:rsidRPr="00B451BF">
        <w:rPr>
          <w:rFonts w:ascii="Times New Roman" w:eastAsia="Times New Roman" w:hAnsi="Times New Roman" w:cs="Times New Roman"/>
          <w:sz w:val="30"/>
          <w:szCs w:val="20"/>
          <w:lang w:eastAsia="ru-RU"/>
        </w:rPr>
        <w:t>.</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uppressAutoHyphens/>
        <w:spacing w:before="100" w:beforeAutospacing="1" w:after="1" w:line="220" w:lineRule="atLeast"/>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b/>
          <w:bCs/>
          <w:color w:val="000000"/>
          <w:sz w:val="30"/>
          <w:szCs w:val="30"/>
          <w:lang w:eastAsia="ru-RU"/>
        </w:rPr>
        <w:lastRenderedPageBreak/>
        <w:t>Льготы по земельному налогу</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autoSpaceDE w:val="0"/>
        <w:autoSpaceDN w:val="0"/>
        <w:adjustRightInd w:val="0"/>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451BF">
        <w:rPr>
          <w:rFonts w:ascii="Times New Roman" w:eastAsia="Calibri" w:hAnsi="Times New Roman" w:cs="Times New Roman"/>
          <w:sz w:val="30"/>
          <w:szCs w:val="30"/>
        </w:rPr>
        <w:t xml:space="preserve">С 1 января 2025 г. исключается льгота по земельному налогу для плательщиков-организаций за сельскохозяйственные земли сельскохозяйственного назначения (пахотные земли, залежные земли, земли под постоянными культурами, луговые земли), плательщиками земельного налога за которые являются организации, применяющие налог при упрощенной системе налогообложения </w:t>
      </w:r>
      <w:r w:rsidRPr="00B451BF">
        <w:rPr>
          <w:rFonts w:ascii="Times New Roman" w:eastAsia="Calibri" w:hAnsi="Times New Roman" w:cs="Times New Roman"/>
          <w:i/>
          <w:iCs/>
          <w:sz w:val="30"/>
          <w:szCs w:val="30"/>
        </w:rPr>
        <w:t>(исключен подп. 1.28 п. 1 ст. 239 НК).</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autoSpaceDE w:val="0"/>
        <w:autoSpaceDN w:val="0"/>
        <w:adjustRightInd w:val="0"/>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proofErr w:type="gramStart"/>
      <w:r w:rsidRPr="00B451BF">
        <w:rPr>
          <w:rFonts w:ascii="Times New Roman" w:eastAsia="Calibri" w:hAnsi="Times New Roman" w:cs="Times New Roman"/>
          <w:sz w:val="30"/>
          <w:szCs w:val="30"/>
        </w:rPr>
        <w:t>С 2025 года льготу, установленную подпунктом 1.27 пункта 1 статьи 239 НК, в отношении земельных участков, предоставляемых организациям, осуществляющим за счет средств республиканского и (или) местных бюджетов строительство объектов, включенных в государственную инвестиционную программу, а также в инвестиционные программы областей и города Минска), можно будет применять по земельным участкам, являющимся земельными участками, на которых отсутствуют капитальные строения (</w:t>
      </w:r>
      <w:r w:rsidRPr="00B451BF">
        <w:rPr>
          <w:rFonts w:ascii="Times New Roman" w:eastAsia="Calibri" w:hAnsi="Times New Roman" w:cs="Times New Roman"/>
          <w:i/>
          <w:iCs/>
          <w:sz w:val="30"/>
          <w:szCs w:val="28"/>
          <w:lang w:eastAsia="ru-RU"/>
        </w:rPr>
        <w:t>подп. 2.3 п</w:t>
      </w:r>
      <w:proofErr w:type="gramEnd"/>
      <w:r w:rsidRPr="00B451BF">
        <w:rPr>
          <w:rFonts w:ascii="Times New Roman" w:eastAsia="Calibri" w:hAnsi="Times New Roman" w:cs="Times New Roman"/>
          <w:i/>
          <w:iCs/>
          <w:sz w:val="30"/>
          <w:szCs w:val="28"/>
          <w:lang w:eastAsia="ru-RU"/>
        </w:rPr>
        <w:t xml:space="preserve">. </w:t>
      </w:r>
      <w:proofErr w:type="gramStart"/>
      <w:r w:rsidRPr="00B451BF">
        <w:rPr>
          <w:rFonts w:ascii="Times New Roman" w:eastAsia="Calibri" w:hAnsi="Times New Roman" w:cs="Times New Roman"/>
          <w:i/>
          <w:iCs/>
          <w:sz w:val="30"/>
          <w:szCs w:val="28"/>
          <w:lang w:eastAsia="ru-RU"/>
        </w:rPr>
        <w:t>2 ст. 239 НК).</w:t>
      </w:r>
      <w:r w:rsidRPr="00B451BF">
        <w:rPr>
          <w:rFonts w:ascii="Times New Roman" w:eastAsia="Times New Roman" w:hAnsi="Times New Roman" w:cs="Times New Roman"/>
          <w:sz w:val="24"/>
          <w:szCs w:val="24"/>
          <w:lang w:eastAsia="ru-RU"/>
        </w:rPr>
        <w:t xml:space="preserve"> </w:t>
      </w:r>
      <w:proofErr w:type="gramEnd"/>
    </w:p>
    <w:p w:rsidR="00B451BF" w:rsidRPr="00B451BF" w:rsidRDefault="00B451BF" w:rsidP="00B451B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sz w:val="30"/>
          <w:szCs w:val="30"/>
          <w:lang w:eastAsia="ru-RU"/>
        </w:rPr>
        <w:t xml:space="preserve">Продлен срок действия льготы по земельному налогу до 1 января 2028 г. в отношении земельных участков общественных объединений инвалидов, их унитарных предприятий и учреждений </w:t>
      </w:r>
      <w:r w:rsidRPr="00B451BF">
        <w:rPr>
          <w:rFonts w:ascii="Times New Roman" w:eastAsia="Times New Roman" w:hAnsi="Times New Roman" w:cs="Times New Roman"/>
          <w:i/>
          <w:iCs/>
          <w:sz w:val="30"/>
          <w:szCs w:val="30"/>
          <w:lang w:eastAsia="ru-RU"/>
        </w:rPr>
        <w:t>(ч. 2 п. 3 ст. 6 Закона).</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b/>
          <w:bCs/>
          <w:sz w:val="30"/>
          <w:szCs w:val="30"/>
          <w:lang w:eastAsia="ru-RU"/>
        </w:rPr>
        <w:t>Администрирование земельного налога</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overflowPunct w:val="0"/>
        <w:autoSpaceDE w:val="0"/>
        <w:autoSpaceDN w:val="0"/>
        <w:adjustRightInd w:val="0"/>
        <w:spacing w:before="100" w:beforeAutospacing="1" w:after="100" w:afterAutospacing="1" w:line="240" w:lineRule="auto"/>
        <w:ind w:firstLine="709"/>
        <w:jc w:val="both"/>
        <w:textAlignment w:val="baseline"/>
        <w:rPr>
          <w:rFonts w:ascii="Times New Roman" w:eastAsia="Times New Roman" w:hAnsi="Times New Roman" w:cs="Times New Roman"/>
          <w:sz w:val="24"/>
          <w:szCs w:val="24"/>
          <w:lang w:eastAsia="ru-RU"/>
        </w:rPr>
      </w:pPr>
      <w:r w:rsidRPr="00B451BF">
        <w:rPr>
          <w:rFonts w:ascii="Times New Roman" w:eastAsia="Times New Roman" w:hAnsi="Times New Roman" w:cs="Times New Roman"/>
          <w:sz w:val="30"/>
          <w:szCs w:val="24"/>
          <w:lang w:eastAsia="ru-RU"/>
        </w:rPr>
        <w:t>В течение 2025 г.</w:t>
      </w:r>
      <w:r w:rsidRPr="00B451BF">
        <w:rPr>
          <w:rFonts w:ascii="Times New Roman" w:eastAsia="Times New Roman" w:hAnsi="Times New Roman" w:cs="Times New Roman"/>
          <w:sz w:val="30"/>
          <w:szCs w:val="30"/>
          <w:lang w:eastAsia="ru-RU"/>
        </w:rPr>
        <w:t xml:space="preserve"> сохраняется обязанность уплаты плательщиками-организациями авансовых платежей по земельному налогу по срокам не позднее 22 февраля, 22 мая, 22 августа и 22 ноября. При этом авансовые платежи по общему правилу уплачиваются в размере 1/4 суммы земельного налога, исчисленного за 2024 г., проиндексированной с применением прогнозных индексов роста потребительских цен на 2025 г.</w:t>
      </w:r>
      <w:r w:rsidRPr="00B451BF">
        <w:rPr>
          <w:rFonts w:ascii="Times New Roman" w:eastAsia="Times New Roman" w:hAnsi="Times New Roman" w:cs="Times New Roman"/>
          <w:i/>
          <w:iCs/>
          <w:sz w:val="30"/>
          <w:szCs w:val="30"/>
          <w:lang w:eastAsia="ru-RU"/>
        </w:rPr>
        <w:t xml:space="preserve"> (п. 2 ст. 6 Закона).</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sz w:val="30"/>
          <w:szCs w:val="30"/>
          <w:lang w:eastAsia="ru-RU"/>
        </w:rPr>
        <w:t>При расчете авансовых платежей по земельному налогу не будут учитываться суммы земельного налога по земельным участкам, по которым:</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sz w:val="30"/>
          <w:szCs w:val="30"/>
          <w:lang w:eastAsia="ru-RU"/>
        </w:rPr>
        <w:t>приняты решения об изъятии земельного участка (прекращении прав на земельный участок) либо осуществлена государственная регистрация перехода права на земельный участок к иному лицу в предыдущем календарном году;</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sz w:val="30"/>
          <w:szCs w:val="30"/>
          <w:lang w:eastAsia="ru-RU"/>
        </w:rPr>
        <w:lastRenderedPageBreak/>
        <w:t xml:space="preserve">приняты решения об изъятии земельного участка (прекращении права собственности на земельный участок, прав постоянного или временного пользования земельным участком) в случае, если эти же земельные участки предоставлены этой же организации в аренду </w:t>
      </w:r>
      <w:r w:rsidRPr="00B451BF">
        <w:rPr>
          <w:rFonts w:ascii="Times New Roman" w:eastAsia="Times New Roman" w:hAnsi="Times New Roman" w:cs="Times New Roman"/>
          <w:i/>
          <w:iCs/>
          <w:sz w:val="30"/>
          <w:szCs w:val="30"/>
          <w:lang w:eastAsia="ru-RU"/>
        </w:rPr>
        <w:t>(ч. 5 п. 6 ст. 244 НК)</w:t>
      </w:r>
      <w:r w:rsidRPr="00B451BF">
        <w:rPr>
          <w:rFonts w:ascii="Times New Roman" w:eastAsia="Times New Roman" w:hAnsi="Times New Roman" w:cs="Times New Roman"/>
          <w:sz w:val="30"/>
          <w:szCs w:val="30"/>
          <w:lang w:eastAsia="ru-RU"/>
        </w:rPr>
        <w:t>.</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sz w:val="30"/>
          <w:szCs w:val="30"/>
          <w:lang w:eastAsia="ru-RU"/>
        </w:rPr>
        <w:t xml:space="preserve">Кроме того, организациям, у которых в течение налогового периода возникнут обстоятельства, приводящие к отсутствию объектов налогообложения земельным налогом, до конца текущего налогового периода аннулируются авансовые платежи, </w:t>
      </w:r>
      <w:proofErr w:type="gramStart"/>
      <w:r w:rsidRPr="00B451BF">
        <w:rPr>
          <w:rFonts w:ascii="Times New Roman" w:eastAsia="Times New Roman" w:hAnsi="Times New Roman" w:cs="Times New Roman"/>
          <w:sz w:val="30"/>
          <w:szCs w:val="30"/>
          <w:lang w:eastAsia="ru-RU"/>
        </w:rPr>
        <w:t>сроки</w:t>
      </w:r>
      <w:proofErr w:type="gramEnd"/>
      <w:r w:rsidRPr="00B451BF">
        <w:rPr>
          <w:rFonts w:ascii="Times New Roman" w:eastAsia="Times New Roman" w:hAnsi="Times New Roman" w:cs="Times New Roman"/>
          <w:sz w:val="30"/>
          <w:szCs w:val="30"/>
          <w:lang w:eastAsia="ru-RU"/>
        </w:rPr>
        <w:t xml:space="preserve"> уплаты которых приходятся на даты после возникновения таких обстоятельств. При этом данные организации представляют уведомление </w:t>
      </w:r>
      <w:proofErr w:type="gramStart"/>
      <w:r w:rsidRPr="00B451BF">
        <w:rPr>
          <w:rFonts w:ascii="Times New Roman" w:eastAsia="Times New Roman" w:hAnsi="Times New Roman" w:cs="Times New Roman"/>
          <w:sz w:val="30"/>
          <w:szCs w:val="30"/>
          <w:lang w:eastAsia="ru-RU"/>
        </w:rPr>
        <w:t>о возникновении таких обстоятельств в произвольной форме в налоговые органы по месту постановки на учет</w:t>
      </w:r>
      <w:proofErr w:type="gramEnd"/>
      <w:r w:rsidRPr="00B451BF">
        <w:rPr>
          <w:rFonts w:ascii="Times New Roman" w:eastAsia="Times New Roman" w:hAnsi="Times New Roman" w:cs="Times New Roman"/>
          <w:sz w:val="30"/>
          <w:szCs w:val="30"/>
          <w:lang w:eastAsia="ru-RU"/>
        </w:rPr>
        <w:t xml:space="preserve"> не позднее тридцати рабочих дней со дня возникновения таких обстоятельств </w:t>
      </w:r>
      <w:r w:rsidRPr="00B451BF">
        <w:rPr>
          <w:rFonts w:ascii="Times New Roman" w:eastAsia="Times New Roman" w:hAnsi="Times New Roman" w:cs="Times New Roman"/>
          <w:i/>
          <w:iCs/>
          <w:sz w:val="30"/>
          <w:szCs w:val="30"/>
          <w:lang w:eastAsia="ru-RU"/>
        </w:rPr>
        <w:t>(ч. 6 п. 6 ст. 244 НК)</w:t>
      </w:r>
      <w:r w:rsidRPr="00B451BF">
        <w:rPr>
          <w:rFonts w:ascii="Times New Roman" w:eastAsia="Times New Roman" w:hAnsi="Times New Roman" w:cs="Times New Roman"/>
          <w:sz w:val="30"/>
          <w:szCs w:val="30"/>
          <w:lang w:eastAsia="ru-RU"/>
        </w:rPr>
        <w:t>.</w:t>
      </w:r>
      <w:r w:rsidRPr="00B451BF">
        <w:rPr>
          <w:rFonts w:ascii="Times New Roman" w:eastAsia="Times New Roman" w:hAnsi="Times New Roman" w:cs="Times New Roman"/>
          <w:sz w:val="24"/>
          <w:szCs w:val="24"/>
          <w:lang w:eastAsia="ru-RU"/>
        </w:rPr>
        <w:t xml:space="preserve"> </w:t>
      </w:r>
    </w:p>
    <w:p w:rsidR="00B451BF" w:rsidRPr="00B451BF" w:rsidRDefault="00B451BF" w:rsidP="00B451B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451BF">
        <w:rPr>
          <w:rFonts w:ascii="Times New Roman" w:eastAsia="Times New Roman" w:hAnsi="Times New Roman" w:cs="Times New Roman"/>
          <w:sz w:val="30"/>
          <w:szCs w:val="30"/>
          <w:lang w:eastAsia="ru-RU"/>
        </w:rPr>
        <w:t xml:space="preserve">Для земельных участков, на которых отсутствуют капитальные строения, авансовые платежи по земельному налогу рассчитываются без повышенного коэффициента 3,0 </w:t>
      </w:r>
      <w:r w:rsidRPr="00B451BF">
        <w:rPr>
          <w:rFonts w:ascii="Times New Roman" w:eastAsia="Times New Roman" w:hAnsi="Times New Roman" w:cs="Times New Roman"/>
          <w:i/>
          <w:iCs/>
          <w:sz w:val="30"/>
          <w:szCs w:val="30"/>
          <w:lang w:eastAsia="ru-RU"/>
        </w:rPr>
        <w:t>(</w:t>
      </w:r>
      <w:proofErr w:type="spellStart"/>
      <w:r w:rsidRPr="00B451BF">
        <w:rPr>
          <w:rFonts w:ascii="Times New Roman" w:eastAsia="Times New Roman" w:hAnsi="Times New Roman" w:cs="Times New Roman"/>
          <w:i/>
          <w:iCs/>
          <w:sz w:val="30"/>
          <w:szCs w:val="30"/>
          <w:lang w:eastAsia="ru-RU"/>
        </w:rPr>
        <w:t>абз</w:t>
      </w:r>
      <w:proofErr w:type="spellEnd"/>
      <w:r w:rsidRPr="00B451BF">
        <w:rPr>
          <w:rFonts w:ascii="Times New Roman" w:eastAsia="Times New Roman" w:hAnsi="Times New Roman" w:cs="Times New Roman"/>
          <w:i/>
          <w:iCs/>
          <w:sz w:val="30"/>
          <w:szCs w:val="30"/>
          <w:lang w:eastAsia="ru-RU"/>
        </w:rPr>
        <w:t>. 3 ч. 4 п. 6 ст. 244 НК)</w:t>
      </w:r>
      <w:r w:rsidRPr="00B451BF">
        <w:rPr>
          <w:rFonts w:ascii="Times New Roman" w:eastAsia="Times New Roman" w:hAnsi="Times New Roman" w:cs="Times New Roman"/>
          <w:sz w:val="30"/>
          <w:szCs w:val="30"/>
          <w:lang w:eastAsia="ru-RU"/>
        </w:rPr>
        <w:t>.</w:t>
      </w:r>
      <w:r w:rsidRPr="00B451BF">
        <w:rPr>
          <w:rFonts w:ascii="Times New Roman" w:eastAsia="Times New Roman" w:hAnsi="Times New Roman" w:cs="Times New Roman"/>
          <w:sz w:val="24"/>
          <w:szCs w:val="24"/>
          <w:lang w:eastAsia="ru-RU"/>
        </w:rPr>
        <w:t xml:space="preserve"> </w:t>
      </w:r>
    </w:p>
    <w:p w:rsidR="00F12D41" w:rsidRDefault="00F12D41">
      <w:bookmarkStart w:id="2" w:name="_GoBack"/>
      <w:bookmarkEnd w:id="2"/>
    </w:p>
    <w:sectPr w:rsidR="00F12D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EFF"/>
    <w:rsid w:val="00217CCC"/>
    <w:rsid w:val="00B23EFF"/>
    <w:rsid w:val="00B451BF"/>
    <w:rsid w:val="00F12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6774427">
      <w:bodyDiv w:val="1"/>
      <w:marLeft w:val="0"/>
      <w:marRight w:val="0"/>
      <w:marTop w:val="0"/>
      <w:marBottom w:val="0"/>
      <w:divBdr>
        <w:top w:val="none" w:sz="0" w:space="0" w:color="auto"/>
        <w:left w:val="none" w:sz="0" w:space="0" w:color="auto"/>
        <w:bottom w:val="none" w:sz="0" w:space="0" w:color="auto"/>
        <w:right w:val="none" w:sz="0" w:space="0" w:color="auto"/>
      </w:divBdr>
      <w:divsChild>
        <w:div w:id="17445685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1601</Words>
  <Characters>9129</Characters>
  <Application>Microsoft Office Word</Application>
  <DocSecurity>0</DocSecurity>
  <Lines>76</Lines>
  <Paragraphs>21</Paragraphs>
  <ScaleCrop>false</ScaleCrop>
  <Company/>
  <LinksUpToDate>false</LinksUpToDate>
  <CharactersWithSpaces>10709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Ловцевич Татьяна Викторовна</dc:creator>
  <cp:keywords/>
  <dc:description/>
  <cp:lastModifiedBy>Ловцевич Татьяна Викторовна</cp:lastModifiedBy>
  <cp:revision>2</cp:revision>
  <dcterms:created xsi:type="dcterms:W3CDTF">2025-03-13T11:48:00Z</dcterms:created>
  <dcterms:modified xsi:type="dcterms:W3CDTF">2025-03-13T11:48:00Z</dcterms:modified>
</cp:coreProperties>
</file>